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AA03CC" w:rsidP="00EF5D3B">
      <w:pPr>
        <w:ind w:left="1134" w:right="1219"/>
        <w:rPr>
          <w:rFonts w:ascii="Arial" w:hAnsi="Arial" w:cs="Arial"/>
          <w:b/>
          <w:sz w:val="24"/>
        </w:rPr>
      </w:pPr>
      <w:r>
        <w:rPr>
          <w:rFonts w:ascii="Arial" w:hAnsi="Arial" w:cs="Arial"/>
          <w:b/>
          <w:sz w:val="24"/>
        </w:rPr>
        <w:t>PRIEDAS</w:t>
      </w:r>
      <w:r w:rsidR="00177381">
        <w:rPr>
          <w:rFonts w:ascii="Arial" w:hAnsi="Arial" w:cs="Arial"/>
          <w:b/>
          <w:sz w:val="24"/>
        </w:rPr>
        <w:t xml:space="preserve"> 5</w:t>
      </w:r>
    </w:p>
    <w:p w:rsidR="00D52B2B" w:rsidRDefault="00AA03CC" w:rsidP="00D52B2B">
      <w:pPr>
        <w:ind w:left="1134" w:right="1219"/>
        <w:rPr>
          <w:rFonts w:ascii="Arial" w:hAnsi="Arial" w:cs="Arial"/>
          <w:b/>
          <w:i/>
          <w:sz w:val="24"/>
        </w:rPr>
      </w:pPr>
      <w:r w:rsidRPr="00AA03CC">
        <w:rPr>
          <w:rFonts w:ascii="Arial" w:hAnsi="Arial" w:cs="Arial"/>
          <w:b/>
          <w:i/>
          <w:sz w:val="24"/>
          <w:lang w:val="lt-LT"/>
        </w:rPr>
        <w:t>Atsakymai apie įvairovę</w:t>
      </w:r>
      <w:r w:rsidRPr="00AA03CC">
        <w:rPr>
          <w:rFonts w:ascii="Arial" w:hAnsi="Arial" w:cs="Arial"/>
          <w:b/>
          <w:i/>
          <w:sz w:val="24"/>
          <w:lang w:val="en-GB"/>
        </w:rPr>
        <w:t xml:space="preserve"> </w:t>
      </w:r>
    </w:p>
    <w:p w:rsidR="00AA03CC" w:rsidRPr="00AA03CC" w:rsidRDefault="00AA03CC" w:rsidP="00AA03CC">
      <w:pPr>
        <w:numPr>
          <w:ilvl w:val="0"/>
          <w:numId w:val="13"/>
        </w:numPr>
        <w:ind w:right="1219" w:firstLine="414"/>
        <w:jc w:val="both"/>
        <w:rPr>
          <w:rFonts w:ascii="Arial" w:hAnsi="Arial" w:cs="Arial"/>
          <w:sz w:val="20"/>
          <w:lang w:val="lt-LT"/>
        </w:rPr>
      </w:pPr>
      <w:r w:rsidRPr="00AA03CC">
        <w:rPr>
          <w:rFonts w:ascii="Arial" w:hAnsi="Arial" w:cs="Arial"/>
          <w:sz w:val="20"/>
          <w:lang w:val="lt-LT"/>
        </w:rPr>
        <w:t>Iš tikrųjų yra šimtai meilės išraiškų, priklausomai nuo kultūros, apie kurią kalbame.</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xml:space="preserve">Šie trys maži žodžiai - aš tave myliu - gali reikšti tiek daug anglų kalba. Tačiau jų atitikmenys kitoms kalbomis gali skirtis nuo jausmų, kuriuos mes susiejame su šia fraze. Iš konservatyvaus elgesio įtraukiant šeimą, meilė ir grožis labai skiriasi visame pasaulyje. Pavyzdžiui: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xml:space="preserve">Vakarų Afrikoje yra tokio pobūdžio konkursas, kuris iš tikrųjų yra tradicija, vadinama Gerewol, šis grožio konkursas yra unikalus, nes dalyviai yra vyrai ir teisėjai yra moterys. Vyrai užsidengia galvas apdangalais, pasidaro makiažą ir atlieka šokį, kad moterims padarytų didelį įspūdį, nors ne visi jie yra vieniši.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Lotynų Amerikoje taip pat yra dvi skirtingos  "Aš myliu tave"  versijos tai- te quiero ir te amo. Pirmasis naudojamas atsitiktinai ir net su draugais. Tačiau antrasis variantas skirtas rimtesniems ir stipresniems santykiams.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Japonijoje dauguma porų viešai nesibučiuoja ir nesilaiko už rankų. Jie dažniausiai parodo meilę, rūpindamiesi vienas kitu. Tačiau, esant tik dviese, labiausiai aistringi bučiniai yra sutelkti į  kaklą ar rankas, o ne į lūpas.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xml:space="preserve">Kitos kultūros, tokios kaip eskimai, turi meilės sampratą, labiau susijusią su švelnumu ir kompanija. Štai kodėl jų bučiniai atliekami su nosimi, kelis kartus perkeliant nosį iš vieno žando pusės į kitą.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Pavyzdžiui, dauguma azijiečių žmonių naudojant kūno kalbą beveik jokio jausmo nerodo: įprasto pokalbio metu liestis yra "uždrausta". Kinijoje bučiavimas yra tikrai intymus gestas, todėl dažniausiai jūs nematote porų, kurios bučiuojasi gatvėse.</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Jei keliausime į Europą, ten galite prisiminti, kad labiausiai romantiškos ir mažiau drovios meilės apraiškos yra itališkos. Sakoma, kad 50% jų kasdieninės kalbos sudaro žodis “meilė”". Vyrai paprastai savo antrosioms pusėms sako komplimentus ir be abejonės parodo savo jausmus.</w:t>
      </w:r>
    </w:p>
    <w:p w:rsidR="00AA03CC" w:rsidRPr="00AA03CC" w:rsidRDefault="00AA03CC" w:rsidP="00AA03CC">
      <w:pPr>
        <w:ind w:left="1134" w:right="1219"/>
        <w:jc w:val="both"/>
        <w:rPr>
          <w:rFonts w:ascii="Arial" w:hAnsi="Arial" w:cs="Arial"/>
          <w:sz w:val="20"/>
          <w:lang w:val="lt-LT"/>
        </w:rPr>
      </w:pPr>
      <w:r>
        <w:rPr>
          <w:rFonts w:ascii="Arial" w:hAnsi="Arial" w:cs="Arial"/>
          <w:sz w:val="20"/>
          <w:lang w:val="lt-LT"/>
        </w:rPr>
        <w:t>2)</w:t>
      </w:r>
      <w:r w:rsidRPr="00AA03CC">
        <w:rPr>
          <w:rFonts w:ascii="Arial" w:hAnsi="Arial" w:cs="Arial"/>
          <w:sz w:val="20"/>
          <w:lang w:val="lt-LT"/>
        </w:rPr>
        <w:t xml:space="preserve"> Deja, moterys visame pasaulyje dar negalėjo iškovoti lygių teisių įskaitant teisę priimti savo sprendimus. Pavyzdžiui: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Indijoje (kai kuriose zonose): kelių saugumo taisyklės netaikomos moterims. Kai kuriose Indijos valstijose moterims netaikomos saugaus eismo taisyklės, pagal kurias motociklininkėms nereikia dėvėti šalmų - atleidimas nuo mokesčio, kuris kasmet partrenkia o ar sužeidžia tūkstančius. Draudėjo rėmėjai teigia, kad jie tik bando apsaugoti moterų kruopščiai sušukuotus plaukus ir makiažą.</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Jemenas: moteris laikoma tik pusė liudytojo. Tai yra teisminio liudijimo politika Jemene, kur moteris nėra "pripažįstama kaip pilnas asmuo teisme". Apskritai, vienos moters liudijimas nėra rimtai vertinamas, nebent tai yra paremta vyro liudijimu arba yra susijęs su vieta ar situacija kai nėra vyro ". Taip pat Jemene moterys negali palikti namų be jų vyrų leidimo. Jemene, kur šis įstatymas galioja, leidžiama keletą išimtinių atvejų: jei moteris turi skubėti pasirūpinti savo sergančiais tėvais.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lastRenderedPageBreak/>
        <w:t>Vatikanas: Moterys vis dar  negali balsuoti. Vatikanas yra vienintelė šalis, kuri leidžia balsuoti vyrams, bet ne moterims.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Ne mažiau kaip 15 šalių, įskaitant Boliviją, nepaisant to, kad pasiekta tam tikros pažangos lyčių lygybės srityje, toliau draudžia moterims dirbti be jų vyru sutikimo.</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3</w:t>
      </w:r>
      <w:r>
        <w:rPr>
          <w:rFonts w:ascii="Arial" w:hAnsi="Arial" w:cs="Arial"/>
          <w:sz w:val="20"/>
          <w:lang w:val="lt-LT"/>
        </w:rPr>
        <w:t>)</w:t>
      </w:r>
      <w:r w:rsidRPr="00AA03CC">
        <w:rPr>
          <w:rFonts w:ascii="Arial" w:hAnsi="Arial" w:cs="Arial"/>
          <w:sz w:val="20"/>
          <w:lang w:val="lt-LT"/>
        </w:rPr>
        <w:t xml:space="preserve"> Žodis religija kartais vartojamas kaip "tikėjimas" ar "tikėjimo sistema", bet religija skiriasi nuo privačiojo tikėjimo tuo, kad tai yra viešasis aspektas. Daugelis religijų organizavo elgesį, įskaitant klierikų hierarchiją, apibrėžimą, kas yra laikymasis ar narystė, pasauliečių susivienijimai, reguliarūs susitikimai ar paslaugos Dievo garbinimo ar maldos tikslais, šventos vietos (gamtos ar architektūros) ar religiniai tekstai . Remiantis kai kuriais skaičiavimais, pasaulyje yra maždaug 4200 religijų. Populiariausios  ir daugiausiai pasekėjų turinčios: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Krikščionybė: katalikybė, ortodoksai, protestantizmas ir Rytų bažnyčios (32 proc. Pasaulio gyventojų)</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Islamas: dievas, shi'ism, kitas islamas (24%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Hinduizmas (16%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Budizmas: Theravada, Mahayana, Vajrayana (8%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liaudies religijos (6% ...)</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Taoizmas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Šinto</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Falun Gong</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Sikhizmas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Judaizmas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Korėjos šamanizmas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Caodaism</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Bahajų tikėjimas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Tenisas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Jainizmas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Chondoizmas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Hoahaoizmas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Daugiau informacijos galite rasti Vikipedijoje: religijų ir dvasinių tradicijų sąraše.</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lastRenderedPageBreak/>
        <w:t>4</w:t>
      </w:r>
      <w:r>
        <w:rPr>
          <w:rFonts w:ascii="Arial" w:hAnsi="Arial" w:cs="Arial"/>
          <w:sz w:val="20"/>
          <w:lang w:val="lt-LT"/>
        </w:rPr>
        <w:t>)</w:t>
      </w:r>
      <w:r w:rsidRPr="00AA03CC">
        <w:rPr>
          <w:rFonts w:ascii="Arial" w:hAnsi="Arial" w:cs="Arial"/>
          <w:sz w:val="20"/>
          <w:lang w:val="lt-LT"/>
        </w:rPr>
        <w:t xml:space="preserve"> Laimei, taip! Kiekviena planetos šalis pasižymi tam tikra kultūrine įvairove. Frazė "kultūrinė įvairovė" taip pat gali reikšti, kad skirtingos kultūros gerbia viena kitos skirtumus. Kartais tai taip pat reiškia žmonių, visuomenių ar kultūrų įvairovę konkrečiame regione arba visame pasaulyje. Be akivaizdžių žmonių kultūrinių skirtumų, pvz., kalbos, drabužių ir tradicijų, taip pat pastebimi skirtingi būdai, kuriais visuomenė organizuoja savo bendrą moralės sampratą ir būdus, kaip jie sąveikauja su aplinka.</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Pasak kai kurių šios srities ekspertų, Papua Naujoji Gvinėja yra kultūriškai įvairiausia šalis pasaulyje. Šalyje yra 852 žinomos kalbos, iš kurių 12 šiuo metu neturi gyvenančių kalbėtojų.  Daugiau nei 7 milijonų žmonių gyvena įprastose bendruomenėse, kurios yra tokios pat skirtingos kaip ir kalbos.</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 xml:space="preserve"> Galite patikrinti daugelio kultūriškai įvairių pasaulio šalių sąrašą ir net pažiūrėti, kokioje pozicijoje yra jūsų šalis Vikipedijos reitinge: šalių sąrašas pagal etninę ir kultūrinę įvairovę.</w:t>
      </w:r>
    </w:p>
    <w:p w:rsidR="00AA03CC" w:rsidRPr="00AA03CC" w:rsidRDefault="00AA03CC" w:rsidP="00AA03CC">
      <w:pPr>
        <w:ind w:left="1134" w:right="1219"/>
        <w:jc w:val="both"/>
        <w:rPr>
          <w:rFonts w:ascii="Arial" w:hAnsi="Arial" w:cs="Arial"/>
          <w:sz w:val="20"/>
          <w:lang w:val="lt-LT"/>
        </w:rPr>
      </w:pPr>
    </w:p>
    <w:p w:rsidR="00AA03CC" w:rsidRPr="00AA03CC" w:rsidRDefault="00AA03CC" w:rsidP="00AA03CC">
      <w:pPr>
        <w:ind w:left="1134" w:right="1219"/>
        <w:jc w:val="both"/>
        <w:rPr>
          <w:rFonts w:ascii="Arial" w:hAnsi="Arial" w:cs="Arial"/>
          <w:sz w:val="20"/>
          <w:lang w:val="lt-LT"/>
        </w:rPr>
      </w:pPr>
      <w:r>
        <w:rPr>
          <w:rFonts w:ascii="Arial" w:hAnsi="Arial" w:cs="Arial"/>
          <w:sz w:val="20"/>
          <w:lang w:val="lt-LT"/>
        </w:rPr>
        <w:t xml:space="preserve">5) </w:t>
      </w:r>
      <w:r w:rsidRPr="00AA03CC">
        <w:rPr>
          <w:rFonts w:ascii="Arial" w:hAnsi="Arial" w:cs="Arial"/>
          <w:sz w:val="20"/>
          <w:lang w:val="lt-LT"/>
        </w:rPr>
        <w:t>Yra daugiau kaip 20 žinomų tautų, kurios ir toliau diskriminuoja moteris, užkertant joms kelią mokytis. Štai keletas iš jų:</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Kambodža. Daugumai mergaičių išsilavinimas pasibaigia brendimo pradžioje, tik 15 proc. moterų siekia aukštojo mokslo. Daugeliui moterų jų likimas nepalankus, dauguma jų  kenčia nuo smurto šeimoje;  dirba ryžių laukuose arba kaip vergės jau nuo 13 metų.</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Pakistanas. Jūs turbūt prisimenate, kai Talibanas nušovė 15 metų Malalą Jousafzą į galvą už savo teisę į mokslą. Šio pobūdžio smurtas prieš moteris, kurios bando lankyti mokyklą, yra paplitęs Pakistane ir  daugiau nei pusė pakistaniečių moterų  nėra išsilavinusios, todėl Pakistano moterų išsilavinimo lygis yra vienas iš žemiausių pasaulyje.</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Nepalas. Vyrų išsilavinimas triumfuoja, berniukai paprastai siunčiami į mokyklas, o daugelis Nepalo jaunų moterų yra parduodamos į nelaisvę ar auginamos, kad mokėtų prižiūrėti namų ūkį.</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Gvatemala. Mažiau nei pusė Gvatemalos mergaičių beveik neturi galimybių įsiregistruoti į pradines mokyklas  ir tik 1 iš 8 baigia šeštą klasę. Ši šalis yra labai skurdi ir apskritai dauguma šeimų negali sau leisti veikus į mokyklą, tačiau, jei galėtų, jie paprastai siųstų berniuką, nes mergaitės yra skatinamos imtis vietos vaidmens visuomenėje. Kaimo vietovėse mergaitėms sunkiau lankyti mokyklą, nes joms gali trūkti saugumo ar ištvermės kasdien vaikščioti toli į mokyklą ir atgal.</w:t>
      </w:r>
    </w:p>
    <w:p w:rsidR="00AA03CC" w:rsidRPr="00AA03CC" w:rsidRDefault="00AA03CC" w:rsidP="00AA03CC">
      <w:pPr>
        <w:ind w:left="1134" w:right="1219"/>
        <w:jc w:val="both"/>
        <w:rPr>
          <w:rFonts w:ascii="Arial" w:hAnsi="Arial" w:cs="Arial"/>
          <w:sz w:val="20"/>
          <w:lang w:val="lt-LT"/>
        </w:rPr>
      </w:pPr>
      <w:r w:rsidRPr="00AA03CC">
        <w:rPr>
          <w:rFonts w:ascii="Arial" w:hAnsi="Arial" w:cs="Arial"/>
          <w:sz w:val="20"/>
          <w:lang w:val="lt-LT"/>
        </w:rPr>
        <w:t>Marokas. Egzistuoja didelis socialinis spaudimas mergaitėms nelankyti mokyklos. Merginos dažniausiai išteka iki 14 metų amžiaus, o vėliau  visą laiką skiria vaikams  auginti, o tos, kurios siekia išsilavinimo, susiduria su visuomenės priešiškumu.</w:t>
      </w:r>
    </w:p>
    <w:p w:rsidR="001B2F0D" w:rsidRPr="00F22FE6" w:rsidRDefault="001B2F0D" w:rsidP="007F043B">
      <w:pPr>
        <w:tabs>
          <w:tab w:val="left" w:pos="2112"/>
        </w:tabs>
        <w:spacing w:after="120" w:line="240" w:lineRule="auto"/>
        <w:jc w:val="center"/>
      </w:pPr>
    </w:p>
    <w:sectPr w:rsidR="001B2F0D" w:rsidRPr="00F22FE6" w:rsidSect="00EE5711">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9C" w:rsidRDefault="002F149C">
      <w:pPr>
        <w:spacing w:after="0" w:line="240" w:lineRule="auto"/>
      </w:pPr>
      <w:r>
        <w:separator/>
      </w:r>
    </w:p>
  </w:endnote>
  <w:endnote w:type="continuationSeparator" w:id="0">
    <w:p w:rsidR="002F149C" w:rsidRDefault="002F1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454678" w:rsidP="001B2F0D">
    <w:pPr>
      <w:spacing w:after="0" w:line="240" w:lineRule="auto"/>
      <w:ind w:left="-238"/>
    </w:pPr>
    <w:r w:rsidRPr="00454678">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74.7pt;margin-top:.15pt;width:258.1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AA03CC" w:rsidRDefault="00AA03CC" w:rsidP="00AA03CC">
                <w:proofErr w:type="spellStart"/>
                <w:r w:rsidRPr="00AA03CC">
                  <w:rPr>
                    <w:rFonts w:ascii="Trebuchet MS" w:hAnsi="Trebuchet MS"/>
                    <w:color w:val="FFFFFF" w:themeColor="background1"/>
                    <w:lang w:val="en-GB"/>
                  </w:rPr>
                  <w:t>Nepaprasta</w:t>
                </w:r>
                <w:proofErr w:type="spellEnd"/>
                <w:r w:rsidRPr="00AA03CC">
                  <w:rPr>
                    <w:rFonts w:ascii="Trebuchet MS" w:hAnsi="Trebuchet MS"/>
                    <w:color w:val="FFFFFF" w:themeColor="background1"/>
                    <w:lang w:val="en-GB"/>
                  </w:rPr>
                  <w:t xml:space="preserve"> </w:t>
                </w:r>
                <w:proofErr w:type="spellStart"/>
                <w:r w:rsidRPr="00AA03CC">
                  <w:rPr>
                    <w:rFonts w:ascii="Trebuchet MS" w:hAnsi="Trebuchet MS"/>
                    <w:color w:val="FFFFFF" w:themeColor="background1"/>
                    <w:lang w:val="en-GB"/>
                  </w:rPr>
                  <w:t>Komanda</w:t>
                </w:r>
                <w:proofErr w:type="spellEnd"/>
                <w:r w:rsidRPr="00AA03CC">
                  <w:rPr>
                    <w:rFonts w:ascii="Trebuchet MS" w:hAnsi="Trebuchet MS"/>
                    <w:color w:val="FFFFFF" w:themeColor="background1"/>
                    <w:lang w:val="en-GB"/>
                  </w:rPr>
                  <w:t xml:space="preserve"> – </w:t>
                </w:r>
                <w:proofErr w:type="spellStart"/>
                <w:r w:rsidRPr="00AA03CC">
                  <w:rPr>
                    <w:rFonts w:ascii="Trebuchet MS" w:hAnsi="Trebuchet MS"/>
                    <w:color w:val="FFFFFF" w:themeColor="background1"/>
                    <w:lang w:val="en-GB"/>
                  </w:rPr>
                  <w:t>kiekvienas</w:t>
                </w:r>
                <w:proofErr w:type="spellEnd"/>
                <w:r w:rsidRPr="00AA03CC">
                  <w:rPr>
                    <w:rFonts w:ascii="Trebuchet MS" w:hAnsi="Trebuchet MS"/>
                    <w:color w:val="FFFFFF" w:themeColor="background1"/>
                    <w:lang w:val="en-GB"/>
                  </w:rPr>
                  <w:t xml:space="preserve"> </w:t>
                </w:r>
                <w:proofErr w:type="spellStart"/>
                <w:r w:rsidRPr="00AA03CC">
                  <w:rPr>
                    <w:rFonts w:ascii="Trebuchet MS" w:hAnsi="Trebuchet MS"/>
                    <w:color w:val="FFFFFF" w:themeColor="background1"/>
                    <w:lang w:val="en-GB"/>
                  </w:rPr>
                  <w:t>yra</w:t>
                </w:r>
                <w:proofErr w:type="spellEnd"/>
                <w:r w:rsidRPr="00AA03CC">
                  <w:rPr>
                    <w:rFonts w:ascii="Trebuchet MS" w:hAnsi="Trebuchet MS"/>
                    <w:color w:val="FFFFFF" w:themeColor="background1"/>
                    <w:lang w:val="en-GB"/>
                  </w:rPr>
                  <w:t xml:space="preserve"> </w:t>
                </w:r>
                <w:proofErr w:type="spellStart"/>
                <w:r w:rsidRPr="00AA03CC">
                  <w:rPr>
                    <w:rFonts w:ascii="Trebuchet MS" w:hAnsi="Trebuchet MS"/>
                    <w:color w:val="FFFFFF" w:themeColor="background1"/>
                    <w:lang w:val="en-GB"/>
                  </w:rPr>
                  <w:t>originalus</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454678">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9C" w:rsidRDefault="002F149C">
      <w:pPr>
        <w:spacing w:after="0" w:line="240" w:lineRule="auto"/>
      </w:pPr>
      <w:r>
        <w:separator/>
      </w:r>
    </w:p>
  </w:footnote>
  <w:footnote w:type="continuationSeparator" w:id="0">
    <w:p w:rsidR="002F149C" w:rsidRDefault="002F1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E5711">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67F0"/>
    <w:multiLevelType w:val="multilevel"/>
    <w:tmpl w:val="A40E3CF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1617ADF"/>
    <w:multiLevelType w:val="hybridMultilevel"/>
    <w:tmpl w:val="3C564062"/>
    <w:lvl w:ilvl="0" w:tplc="1A5454F6">
      <w:start w:val="1"/>
      <w:numFmt w:val="bullet"/>
      <w:lvlText w:val="•"/>
      <w:lvlJc w:val="left"/>
      <w:pPr>
        <w:ind w:left="2346" w:hanging="360"/>
      </w:pPr>
      <w:rPr>
        <w:rFonts w:ascii="Calibri" w:hAnsi="Calibri" w:hint="default"/>
        <w:b w:val="0"/>
        <w:i w:val="0"/>
        <w:caps w:val="0"/>
        <w:strike w:val="0"/>
        <w:dstrike w:val="0"/>
        <w:outline w:val="0"/>
        <w:shadow w:val="0"/>
        <w:emboss w:val="0"/>
        <w:imprint w:val="0"/>
        <w:vanish w:val="0"/>
        <w:sz w:val="22"/>
        <w:u w:val="none"/>
        <w:vertAlign w:val="baseline"/>
      </w:rPr>
    </w:lvl>
    <w:lvl w:ilvl="1" w:tplc="04150003" w:tentative="1">
      <w:start w:val="1"/>
      <w:numFmt w:val="bullet"/>
      <w:lvlText w:val="o"/>
      <w:lvlJc w:val="left"/>
      <w:pPr>
        <w:ind w:left="3066" w:hanging="360"/>
      </w:pPr>
      <w:rPr>
        <w:rFonts w:ascii="Courier New" w:hAnsi="Courier New" w:cs="Courier New" w:hint="default"/>
      </w:rPr>
    </w:lvl>
    <w:lvl w:ilvl="2" w:tplc="04150005" w:tentative="1">
      <w:start w:val="1"/>
      <w:numFmt w:val="bullet"/>
      <w:lvlText w:val=""/>
      <w:lvlJc w:val="left"/>
      <w:pPr>
        <w:ind w:left="3786" w:hanging="360"/>
      </w:pPr>
      <w:rPr>
        <w:rFonts w:ascii="Wingdings" w:hAnsi="Wingdings" w:hint="default"/>
      </w:rPr>
    </w:lvl>
    <w:lvl w:ilvl="3" w:tplc="04150001" w:tentative="1">
      <w:start w:val="1"/>
      <w:numFmt w:val="bullet"/>
      <w:lvlText w:val=""/>
      <w:lvlJc w:val="left"/>
      <w:pPr>
        <w:ind w:left="4506" w:hanging="360"/>
      </w:pPr>
      <w:rPr>
        <w:rFonts w:ascii="Symbol" w:hAnsi="Symbol" w:hint="default"/>
      </w:rPr>
    </w:lvl>
    <w:lvl w:ilvl="4" w:tplc="04150003" w:tentative="1">
      <w:start w:val="1"/>
      <w:numFmt w:val="bullet"/>
      <w:lvlText w:val="o"/>
      <w:lvlJc w:val="left"/>
      <w:pPr>
        <w:ind w:left="5226" w:hanging="360"/>
      </w:pPr>
      <w:rPr>
        <w:rFonts w:ascii="Courier New" w:hAnsi="Courier New" w:cs="Courier New" w:hint="default"/>
      </w:rPr>
    </w:lvl>
    <w:lvl w:ilvl="5" w:tplc="04150005" w:tentative="1">
      <w:start w:val="1"/>
      <w:numFmt w:val="bullet"/>
      <w:lvlText w:val=""/>
      <w:lvlJc w:val="left"/>
      <w:pPr>
        <w:ind w:left="5946" w:hanging="360"/>
      </w:pPr>
      <w:rPr>
        <w:rFonts w:ascii="Wingdings" w:hAnsi="Wingdings" w:hint="default"/>
      </w:rPr>
    </w:lvl>
    <w:lvl w:ilvl="6" w:tplc="04150001" w:tentative="1">
      <w:start w:val="1"/>
      <w:numFmt w:val="bullet"/>
      <w:lvlText w:val=""/>
      <w:lvlJc w:val="left"/>
      <w:pPr>
        <w:ind w:left="6666" w:hanging="360"/>
      </w:pPr>
      <w:rPr>
        <w:rFonts w:ascii="Symbol" w:hAnsi="Symbol" w:hint="default"/>
      </w:rPr>
    </w:lvl>
    <w:lvl w:ilvl="7" w:tplc="04150003" w:tentative="1">
      <w:start w:val="1"/>
      <w:numFmt w:val="bullet"/>
      <w:lvlText w:val="o"/>
      <w:lvlJc w:val="left"/>
      <w:pPr>
        <w:ind w:left="7386" w:hanging="360"/>
      </w:pPr>
      <w:rPr>
        <w:rFonts w:ascii="Courier New" w:hAnsi="Courier New" w:cs="Courier New" w:hint="default"/>
      </w:rPr>
    </w:lvl>
    <w:lvl w:ilvl="8" w:tplc="04150005" w:tentative="1">
      <w:start w:val="1"/>
      <w:numFmt w:val="bullet"/>
      <w:lvlText w:val=""/>
      <w:lvlJc w:val="left"/>
      <w:pPr>
        <w:ind w:left="8106" w:hanging="360"/>
      </w:pPr>
      <w:rPr>
        <w:rFonts w:ascii="Wingdings" w:hAnsi="Wingdings" w:hint="default"/>
      </w:rPr>
    </w:lvl>
  </w:abstractNum>
  <w:abstractNum w:abstractNumId="6">
    <w:nsid w:val="446E7DE1"/>
    <w:multiLevelType w:val="hybridMultilevel"/>
    <w:tmpl w:val="89B21C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nsid w:val="4E722281"/>
    <w:multiLevelType w:val="hybridMultilevel"/>
    <w:tmpl w:val="BA46C9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115E01"/>
    <w:multiLevelType w:val="hybridMultilevel"/>
    <w:tmpl w:val="1F8A7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4D0503"/>
    <w:multiLevelType w:val="hybridMultilevel"/>
    <w:tmpl w:val="CAFC9EF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D7C45E1"/>
    <w:multiLevelType w:val="hybridMultilevel"/>
    <w:tmpl w:val="1C02E236"/>
    <w:lvl w:ilvl="0" w:tplc="C682DE8C">
      <w:start w:val="1"/>
      <w:numFmt w:val="bullet"/>
      <w:lvlText w:val="•"/>
      <w:lvlJc w:val="left"/>
      <w:pPr>
        <w:ind w:left="360" w:hanging="360"/>
      </w:pPr>
      <w:rPr>
        <w:rFonts w:ascii="Calibri" w:hAnsi="Calibri" w:hint="default"/>
        <w:b w:val="0"/>
        <w:i w:val="0"/>
        <w:caps w:val="0"/>
        <w:strike w:val="0"/>
        <w:dstrike w:val="0"/>
        <w:outline w:val="0"/>
        <w:shadow w:val="0"/>
        <w:emboss w:val="0"/>
        <w:imprint w:val="0"/>
        <w:vanish w:val="0"/>
        <w:sz w:val="28"/>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0"/>
  </w:num>
  <w:num w:numId="4">
    <w:abstractNumId w:val="7"/>
  </w:num>
  <w:num w:numId="5">
    <w:abstractNumId w:val="2"/>
  </w:num>
  <w:num w:numId="6">
    <w:abstractNumId w:val="8"/>
  </w:num>
  <w:num w:numId="7">
    <w:abstractNumId w:val="1"/>
  </w:num>
  <w:num w:numId="8">
    <w:abstractNumId w:val="4"/>
  </w:num>
  <w:num w:numId="9">
    <w:abstractNumId w:val="14"/>
  </w:num>
  <w:num w:numId="10">
    <w:abstractNumId w:val="11"/>
  </w:num>
  <w:num w:numId="11">
    <w:abstractNumId w:val="0"/>
  </w:num>
  <w:num w:numId="12">
    <w:abstractNumId w:val="13"/>
  </w:num>
  <w:num w:numId="13">
    <w:abstractNumId w:val="9"/>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77381"/>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2F149C"/>
    <w:rsid w:val="0031370C"/>
    <w:rsid w:val="003207EC"/>
    <w:rsid w:val="003479B8"/>
    <w:rsid w:val="00357C4C"/>
    <w:rsid w:val="00370C06"/>
    <w:rsid w:val="003814BE"/>
    <w:rsid w:val="0038537B"/>
    <w:rsid w:val="003B4CF1"/>
    <w:rsid w:val="003C1A07"/>
    <w:rsid w:val="003D3708"/>
    <w:rsid w:val="00424BFD"/>
    <w:rsid w:val="00446CF0"/>
    <w:rsid w:val="00450B7D"/>
    <w:rsid w:val="00454678"/>
    <w:rsid w:val="004622A4"/>
    <w:rsid w:val="00490028"/>
    <w:rsid w:val="00490DB5"/>
    <w:rsid w:val="00496D27"/>
    <w:rsid w:val="004B158D"/>
    <w:rsid w:val="004C6015"/>
    <w:rsid w:val="004D38F0"/>
    <w:rsid w:val="00514433"/>
    <w:rsid w:val="005732B4"/>
    <w:rsid w:val="0058421E"/>
    <w:rsid w:val="005B35F8"/>
    <w:rsid w:val="005C02B9"/>
    <w:rsid w:val="005C1E70"/>
    <w:rsid w:val="005C5831"/>
    <w:rsid w:val="005D6C76"/>
    <w:rsid w:val="00600BBD"/>
    <w:rsid w:val="0064531D"/>
    <w:rsid w:val="0065350C"/>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7F043B"/>
    <w:rsid w:val="008640C6"/>
    <w:rsid w:val="008701FD"/>
    <w:rsid w:val="0088784E"/>
    <w:rsid w:val="008A2C7C"/>
    <w:rsid w:val="008D3330"/>
    <w:rsid w:val="00945E68"/>
    <w:rsid w:val="00966369"/>
    <w:rsid w:val="009A1002"/>
    <w:rsid w:val="009A3EB7"/>
    <w:rsid w:val="009B552A"/>
    <w:rsid w:val="009C05C6"/>
    <w:rsid w:val="009C7174"/>
    <w:rsid w:val="009D1178"/>
    <w:rsid w:val="009D6939"/>
    <w:rsid w:val="009D76F1"/>
    <w:rsid w:val="009E766E"/>
    <w:rsid w:val="00A41465"/>
    <w:rsid w:val="00A42B30"/>
    <w:rsid w:val="00A83631"/>
    <w:rsid w:val="00A84204"/>
    <w:rsid w:val="00A90654"/>
    <w:rsid w:val="00A91A27"/>
    <w:rsid w:val="00AA03CC"/>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52B2B"/>
    <w:rsid w:val="00D82FD4"/>
    <w:rsid w:val="00D83150"/>
    <w:rsid w:val="00DA32F0"/>
    <w:rsid w:val="00DA6A22"/>
    <w:rsid w:val="00DA7B47"/>
    <w:rsid w:val="00DC469A"/>
    <w:rsid w:val="00DC7CC6"/>
    <w:rsid w:val="00DD3EB3"/>
    <w:rsid w:val="00DE5FA6"/>
    <w:rsid w:val="00DF1910"/>
    <w:rsid w:val="00E37882"/>
    <w:rsid w:val="00E379E9"/>
    <w:rsid w:val="00E37B52"/>
    <w:rsid w:val="00E54D76"/>
    <w:rsid w:val="00E5565D"/>
    <w:rsid w:val="00EB39CB"/>
    <w:rsid w:val="00EE5711"/>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7F04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5350C"/>
    <w:pPr>
      <w:spacing w:after="0" w:line="240" w:lineRule="auto"/>
    </w:pPr>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987</Words>
  <Characters>5927</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6901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2018-03-17T23:53:00Z</dcterms:created>
  <dcterms:modified xsi:type="dcterms:W3CDTF">2018-04-26T11:09:00Z</dcterms:modified>
  <cp:category>Intellectual Output</cp:category>
</cp:coreProperties>
</file>